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东营市</w:t>
      </w: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  <w:lang w:eastAsia="zh-CN"/>
        </w:rPr>
        <w:t>东营区职业中等专业学校</w:t>
      </w:r>
      <w:r>
        <w:rPr>
          <w:rFonts w:hint="eastAsia" w:ascii="黑体" w:eastAsia="黑体"/>
          <w:color w:val="000000"/>
          <w:sz w:val="32"/>
          <w:szCs w:val="32"/>
        </w:rPr>
        <w:t>教研活动管理规定</w:t>
      </w:r>
    </w:p>
    <w:p>
      <w:pPr>
        <w:spacing w:line="480" w:lineRule="exact"/>
        <w:jc w:val="center"/>
        <w:rPr>
          <w:rFonts w:hint="eastAsia" w:ascii="黑体" w:eastAsia="黑体"/>
          <w:color w:val="000000"/>
          <w:sz w:val="28"/>
          <w:szCs w:val="28"/>
        </w:rPr>
      </w:pPr>
    </w:p>
    <w:p>
      <w:pPr>
        <w:spacing w:line="480" w:lineRule="exact"/>
        <w:jc w:val="center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第一章  总则</w:t>
      </w:r>
    </w:p>
    <w:p>
      <w:pPr>
        <w:spacing w:line="500" w:lineRule="exact"/>
        <w:ind w:firstLine="560" w:firstLineChars="200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/>
          <w:color w:val="000000"/>
          <w:sz w:val="28"/>
          <w:szCs w:val="28"/>
        </w:rPr>
        <w:t>第一条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333333"/>
          <w:sz w:val="28"/>
          <w:szCs w:val="28"/>
          <w:u w:val="none" w:color="auto"/>
        </w:rPr>
        <w:t>教研活动是更新教育观念、研讨教学内容、交流教学方法、探索教学改革、保证教学质量和提升教学水平的有效形式，</w:t>
      </w:r>
      <w:r>
        <w:rPr>
          <w:rFonts w:hint="eastAsia" w:ascii="仿宋_GB2312" w:eastAsia="仿宋_GB2312" w:cs="宋体"/>
          <w:kern w:val="0"/>
          <w:sz w:val="28"/>
          <w:szCs w:val="28"/>
          <w:u w:val="none" w:color="auto"/>
        </w:rPr>
        <w:t>为推动教研活动的开展，</w:t>
      </w:r>
      <w:r>
        <w:rPr>
          <w:rFonts w:hint="eastAsia" w:ascii="仿宋_GB2312" w:eastAsia="仿宋_GB2312" w:cs="宋体"/>
          <w:kern w:val="0"/>
          <w:sz w:val="28"/>
          <w:szCs w:val="28"/>
        </w:rPr>
        <w:t>规范教师的教研活动，解决教学过程中的疑难问题，特制定本规定。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第二条</w:t>
      </w:r>
      <w:r>
        <w:rPr>
          <w:rFonts w:hint="eastAsia" w:ascii="黑体" w:eastAsia="黑体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本规定适用于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东营区职业中专</w:t>
      </w:r>
      <w:r>
        <w:rPr>
          <w:rFonts w:hint="eastAsia" w:ascii="仿宋_GB2312" w:eastAsia="仿宋_GB2312"/>
          <w:color w:val="000000"/>
          <w:sz w:val="28"/>
          <w:szCs w:val="28"/>
        </w:rPr>
        <w:t>教务处。</w:t>
      </w:r>
    </w:p>
    <w:p>
      <w:pPr>
        <w:spacing w:line="480" w:lineRule="exact"/>
        <w:jc w:val="center"/>
        <w:rPr>
          <w:rFonts w:hint="eastAsia" w:ascii="黑体" w:eastAsia="黑体"/>
          <w:color w:val="000000"/>
          <w:sz w:val="28"/>
          <w:szCs w:val="28"/>
        </w:rPr>
      </w:pPr>
    </w:p>
    <w:p>
      <w:pPr>
        <w:spacing w:line="480" w:lineRule="exact"/>
        <w:jc w:val="center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第二章  职责分工</w:t>
      </w:r>
    </w:p>
    <w:p>
      <w:pPr>
        <w:spacing w:line="500" w:lineRule="exact"/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第三条  分管副校长职责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负责教务处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上报的</w:t>
      </w:r>
      <w:r>
        <w:rPr>
          <w:rFonts w:hint="eastAsia" w:ascii="仿宋_GB2312" w:eastAsia="仿宋_GB2312"/>
          <w:color w:val="000000"/>
          <w:sz w:val="28"/>
          <w:szCs w:val="28"/>
        </w:rPr>
        <w:t>教研活动计划的审批和教务处教研活动开展情况的督导。</w:t>
      </w:r>
    </w:p>
    <w:p>
      <w:pPr>
        <w:spacing w:line="500" w:lineRule="exact"/>
        <w:ind w:firstLine="560" w:firstLineChars="200"/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第四条  教务处处长职责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（一）负责各教研室上报的教研活动计划的审核。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（二）负责教务处各教研室教研活动计划执行情况的督导和评价。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第五条  教研室主任职责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（一）负责本教研室教研计划的制定与实施。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（二）负责对教研活动主讲人准备情况的督导。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（三）负责安排教研活动的记录。</w:t>
      </w:r>
    </w:p>
    <w:p>
      <w:pPr>
        <w:spacing w:line="500" w:lineRule="exact"/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第六条  教师职责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（一）负责本教研组教研活动的准备和开展。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（二）负责教研活动成果的具体应用。</w:t>
      </w:r>
    </w:p>
    <w:p>
      <w:pPr>
        <w:spacing w:line="500" w:lineRule="exact"/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第七条  教务员职责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（一）负责教务处教研活动计划执行情况的督导检查。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（二）负责教研活动相关资料的存档。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（三）负责教研活动成果应用情况的落实跟进。</w:t>
      </w:r>
    </w:p>
    <w:p>
      <w:pPr>
        <w:spacing w:line="500" w:lineRule="exact"/>
        <w:ind w:firstLine="560" w:firstLineChars="200"/>
        <w:jc w:val="center"/>
        <w:rPr>
          <w:rFonts w:hint="eastAsia" w:ascii="黑体" w:eastAsia="黑体"/>
          <w:color w:val="000000"/>
          <w:sz w:val="28"/>
          <w:szCs w:val="28"/>
        </w:rPr>
      </w:pPr>
    </w:p>
    <w:p>
      <w:pPr>
        <w:spacing w:line="500" w:lineRule="exact"/>
        <w:ind w:firstLine="560" w:firstLineChars="200"/>
        <w:jc w:val="center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第三章  教研活动的内容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333333"/>
          <w:sz w:val="28"/>
          <w:szCs w:val="28"/>
          <w:u w:val="none" w:color="auto"/>
        </w:rPr>
      </w:pPr>
      <w:r>
        <w:rPr>
          <w:rFonts w:hint="eastAsia" w:ascii="仿宋_GB2312" w:eastAsia="仿宋_GB2312"/>
          <w:color w:val="333333"/>
          <w:sz w:val="28"/>
          <w:szCs w:val="28"/>
          <w:u w:val="none" w:color="auto"/>
        </w:rPr>
        <w:t>第八条  课题组的研讨内容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333333"/>
          <w:sz w:val="28"/>
          <w:szCs w:val="28"/>
          <w:u w:val="none" w:color="auto"/>
        </w:rPr>
      </w:pPr>
      <w:r>
        <w:rPr>
          <w:rFonts w:hint="eastAsia" w:ascii="仿宋_GB2312" w:eastAsia="仿宋_GB2312"/>
          <w:color w:val="333333"/>
          <w:sz w:val="28"/>
          <w:szCs w:val="28"/>
          <w:u w:val="none" w:color="auto"/>
        </w:rPr>
        <w:t>（一）研讨教学</w:t>
      </w:r>
      <w:r>
        <w:rPr>
          <w:rFonts w:hint="eastAsia" w:ascii="仿宋_GB2312" w:eastAsia="仿宋_GB2312"/>
          <w:color w:val="333333"/>
          <w:sz w:val="28"/>
          <w:szCs w:val="28"/>
          <w:u w:val="none" w:color="auto"/>
          <w:lang w:eastAsia="zh-CN"/>
        </w:rPr>
        <w:t>标准</w:t>
      </w:r>
      <w:r>
        <w:rPr>
          <w:rFonts w:hint="eastAsia" w:ascii="仿宋_GB2312" w:eastAsia="仿宋_GB2312"/>
          <w:color w:val="333333"/>
          <w:sz w:val="28"/>
          <w:szCs w:val="28"/>
          <w:u w:val="none" w:color="auto"/>
        </w:rPr>
        <w:t xml:space="preserve">，了解每门课的具体要求、教学重点和难点。 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333333"/>
          <w:sz w:val="28"/>
          <w:szCs w:val="28"/>
          <w:u w:val="none" w:color="auto"/>
        </w:rPr>
      </w:pPr>
      <w:r>
        <w:rPr>
          <w:rFonts w:hint="eastAsia" w:ascii="仿宋_GB2312" w:eastAsia="仿宋_GB2312"/>
          <w:color w:val="333333"/>
          <w:sz w:val="28"/>
          <w:szCs w:val="28"/>
          <w:u w:val="none" w:color="auto"/>
        </w:rPr>
        <w:t xml:space="preserve"> （二）教材的分析与研究，吃透教材，根据培养目标的要求和实施性的教学计划，并结合各专业的具体情况，对教材进行取、舍，对课程教学内容的重组、整合、精选、更新、优化进行研讨。 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333333"/>
          <w:sz w:val="28"/>
          <w:szCs w:val="28"/>
          <w:u w:val="none" w:color="auto"/>
        </w:rPr>
      </w:pPr>
      <w:r>
        <w:rPr>
          <w:rFonts w:hint="eastAsia" w:ascii="仿宋_GB2312" w:eastAsia="仿宋_GB2312"/>
          <w:color w:val="333333"/>
          <w:sz w:val="28"/>
          <w:szCs w:val="28"/>
          <w:u w:val="none" w:color="auto"/>
        </w:rPr>
        <w:t xml:space="preserve">（三）教法研究：对不同专业、不同层次的学生采用不同的教学方法、写出不同的教案。 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333333"/>
          <w:sz w:val="28"/>
          <w:szCs w:val="28"/>
          <w:u w:val="none" w:color="auto"/>
        </w:rPr>
      </w:pPr>
      <w:r>
        <w:rPr>
          <w:rFonts w:hint="eastAsia" w:ascii="仿宋_GB2312" w:eastAsia="仿宋_GB2312"/>
          <w:color w:val="333333"/>
          <w:sz w:val="28"/>
          <w:szCs w:val="28"/>
          <w:u w:val="none" w:color="auto"/>
        </w:rPr>
        <w:t>（四）试题的制定与分析：各教研室应讨论出题原则、深度、广度等，考试后进行成绩分析。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333333"/>
          <w:sz w:val="28"/>
          <w:szCs w:val="28"/>
          <w:u w:val="none" w:color="auto"/>
        </w:rPr>
      </w:pPr>
      <w:r>
        <w:rPr>
          <w:rFonts w:hint="eastAsia" w:ascii="仿宋_GB2312" w:eastAsia="仿宋_GB2312"/>
          <w:color w:val="333333"/>
          <w:sz w:val="28"/>
          <w:szCs w:val="28"/>
          <w:u w:val="none" w:color="auto"/>
        </w:rPr>
        <w:t>（五）开展学术技术交流，介绍相关课题研究成果，共同分享本课程的前沿知识。</w:t>
      </w:r>
    </w:p>
    <w:p>
      <w:pPr>
        <w:pStyle w:val="2"/>
        <w:spacing w:line="500" w:lineRule="exact"/>
        <w:ind w:firstLine="560" w:firstLineChars="200"/>
        <w:rPr>
          <w:rFonts w:hint="eastAsia" w:ascii="楷体_GB2312" w:hAnsi="Tahoma" w:eastAsia="楷体_GB2312" w:cs="Tahoma"/>
          <w:sz w:val="28"/>
          <w:szCs w:val="28"/>
        </w:rPr>
      </w:pPr>
      <w:r>
        <w:rPr>
          <w:rFonts w:hint="eastAsia" w:ascii="楷体_GB2312" w:hAnsi="Tahoma" w:eastAsia="楷体_GB2312" w:cs="Tahoma"/>
          <w:sz w:val="28"/>
          <w:szCs w:val="28"/>
        </w:rPr>
        <w:t>第九条  教研室的研讨内容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（一）课程建设：编写适用的一体化教学教材、辅导教材、试题库、实训、课程设计和评价体系，满足教学及课程体系建设的需要。 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（二）学习交流：开展教研室内部的观摩教学、新知识讲座、论文研讨、互相听课等活动，并进行评议，交流学习教学经验；课题分享；集体备课。 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（三）教书育人：分析研究学生的思想和学习状况，如何结合专业特点，对学生进行专业思想、企业文化及养成教育、交流、 总结推广教书育人的经验。 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（四）教学改革：为培养达到集团要求的技能人才，对专业人才应具备的知识、能力、素质结构及其培养规格的研讨；根据本课程的特点，对现行的教材、教法等方面进行改革探索；提出建设性意见。</w:t>
      </w:r>
    </w:p>
    <w:p>
      <w:pPr>
        <w:spacing w:line="500" w:lineRule="exact"/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第十条 教务处的研讨内容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（一）对</w:t>
      </w:r>
      <w:r>
        <w:rPr>
          <w:rFonts w:hint="eastAsia" w:ascii="仿宋_GB2312" w:eastAsia="仿宋_GB2312"/>
          <w:color w:val="333333"/>
          <w:sz w:val="28"/>
          <w:szCs w:val="28"/>
        </w:rPr>
        <w:t>党和国家教育方针、政策法规的学习，教育观念的研讨。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（二）组织教务处层面的观摩课和说课、优质课评选或比赛。</w:t>
      </w:r>
    </w:p>
    <w:p>
      <w:pPr>
        <w:spacing w:line="560" w:lineRule="exact"/>
        <w:ind w:firstLine="560" w:firstLineChars="200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（三）对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人才培养模式、培养计划、课程体系与结构、教学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eastAsia="zh-CN"/>
        </w:rPr>
        <w:t>改革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等研讨。</w:t>
      </w:r>
    </w:p>
    <w:p>
      <w:pPr>
        <w:spacing w:line="500" w:lineRule="exact"/>
        <w:ind w:firstLine="560" w:firstLineChars="200"/>
        <w:jc w:val="center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第四章  教研活动计划的制定与审批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第十一条  </w:t>
      </w:r>
      <w:r>
        <w:rPr>
          <w:rFonts w:hint="eastAsia" w:ascii="仿宋_GB2312" w:eastAsia="仿宋_GB2312"/>
          <w:color w:val="000000"/>
          <w:sz w:val="28"/>
          <w:szCs w:val="28"/>
        </w:rPr>
        <w:t>在新学期开学后的两周内由教研室主任根据教学安排、学生管理、教师队伍建设等实际情况组织课题组拟定出新学期的《教研活动计划》（附件1）。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第十二条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教研室主任将拟定好的《教研活动计划》上报教务处处长审核，经分管副校长审批后组织实施。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第十三条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教研活动计划一式三份，教务处存档一份，教务处处长及教研室主任分别留存一份。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第十四条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教研活动计划批准后，教研室再需修改的需报教务处长批准。</w:t>
      </w:r>
    </w:p>
    <w:p>
      <w:pPr>
        <w:spacing w:line="500" w:lineRule="exact"/>
        <w:ind w:firstLine="560" w:firstLineChars="200"/>
        <w:jc w:val="center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第五章  教研活动的组织</w:t>
      </w:r>
      <w:r>
        <w:rPr>
          <w:rFonts w:hint="eastAsia" w:ascii="黑体" w:eastAsia="黑体"/>
          <w:color w:val="000000"/>
          <w:sz w:val="28"/>
          <w:szCs w:val="28"/>
          <w:lang w:eastAsia="zh-CN"/>
        </w:rPr>
        <w:t>及实施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第十五条</w:t>
      </w:r>
      <w:r>
        <w:rPr>
          <w:rFonts w:hint="eastAsia" w:ascii="黑体" w:eastAsia="黑体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教研活动采用课题组、教研室、教务处三个层级的组织方式，可以根据内容的不同灵活采用不同的形式。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（一）课题讨论：</w:t>
      </w:r>
      <w:r>
        <w:rPr>
          <w:rFonts w:hint="eastAsia" w:ascii="仿宋_GB2312" w:hAnsi="Arial" w:eastAsia="仿宋_GB2312" w:cs="Arial"/>
          <w:sz w:val="28"/>
          <w:szCs w:val="28"/>
          <w:lang w:eastAsia="zh-Hans"/>
        </w:rPr>
        <w:t>以教学改革过程中遇到的较复杂的问题或内容为研究对象，制定分步骤研究计划，在一段较长时间内，围绕同一专题多次反复研究，探寻教学对策，逐步解决问题。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（二）教学经验的交流：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根据教研计划的安排</w:t>
      </w:r>
      <w:r>
        <w:rPr>
          <w:rFonts w:hint="eastAsia" w:ascii="仿宋_GB2312" w:eastAsia="仿宋_GB2312"/>
          <w:color w:val="000000"/>
          <w:sz w:val="28"/>
          <w:szCs w:val="28"/>
        </w:rPr>
        <w:t>由经验丰富的教师将自己的教学方法、教学心得等与年轻教师进行交流。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（三）课例研究：</w:t>
      </w:r>
      <w:r>
        <w:rPr>
          <w:rFonts w:hint="eastAsia" w:ascii="仿宋_GB2312" w:hAnsi="Arial" w:eastAsia="仿宋_GB2312" w:cs="Arial"/>
          <w:sz w:val="28"/>
          <w:szCs w:val="28"/>
          <w:lang w:eastAsia="zh-Hans"/>
        </w:rPr>
        <w:t>借助必要的媒体手段，运用一定观察与诊断技术，对于某一堂课(可以是代表当前教学现状的课，也可以是以新课程的理念要求设计的课)进行深入的剖析和反思，作出较科学的评价，寻求更有效对策的一种教研活动形式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（四）教研室内部的公开课、观摩课。教研室要定期推举带有示范性质的公开课、观摩课达到共同提高的目的。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（五）集体备课：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集体备课采取先由主备人提供教案，再由任课教师添加、修改，最后共识的备课形式。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第十</w:t>
      </w:r>
      <w:r>
        <w:rPr>
          <w:rFonts w:hint="eastAsia" w:ascii="楷体_GB2312" w:eastAsia="楷体_GB2312"/>
          <w:color w:val="000000"/>
          <w:sz w:val="28"/>
          <w:szCs w:val="28"/>
          <w:lang w:eastAsia="zh-CN"/>
        </w:rPr>
        <w:t>六</w:t>
      </w:r>
      <w:r>
        <w:rPr>
          <w:rFonts w:hint="eastAsia" w:ascii="楷体_GB2312" w:eastAsia="楷体_GB2312"/>
          <w:color w:val="000000"/>
          <w:sz w:val="28"/>
          <w:szCs w:val="28"/>
        </w:rPr>
        <w:t>条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教研活动的实施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教研活动每两周组织一次，专业教研室以教研组为单位进行；基础教研室以教研室为单位进行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，骨干教师原则上每学期必须主持一次教研活动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要求为：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（一）课题主讲人提前三天准备教研活动资料及发言内容。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（二）每次教研活动由教研室主任安排专人负责记录。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（三）每次教研活动时间限定在1—2节课之间。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（四）教研活动期间学校领导及教务处管理人员不定期参加教研活动。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（五）每学期结束后一个周内教研室主任将教研活动记录上交教务处存档。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第十</w:t>
      </w:r>
      <w:r>
        <w:rPr>
          <w:rFonts w:hint="eastAsia" w:ascii="楷体_GB2312" w:eastAsia="楷体_GB2312"/>
          <w:color w:val="000000"/>
          <w:sz w:val="28"/>
          <w:szCs w:val="28"/>
          <w:lang w:eastAsia="zh-CN"/>
        </w:rPr>
        <w:t>七</w:t>
      </w:r>
      <w:r>
        <w:rPr>
          <w:rFonts w:hint="eastAsia" w:ascii="楷体_GB2312" w:eastAsia="楷体_GB2312"/>
          <w:color w:val="000000"/>
          <w:sz w:val="28"/>
          <w:szCs w:val="28"/>
        </w:rPr>
        <w:t>条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处罚措施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（一）未按时上交教研活动计划的，按照《员工手册》予以教研室主任一级过失处理。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（二）私自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取消</w:t>
      </w:r>
      <w:r>
        <w:rPr>
          <w:rFonts w:hint="eastAsia" w:ascii="仿宋_GB2312" w:eastAsia="仿宋_GB2312"/>
          <w:color w:val="000000"/>
          <w:sz w:val="28"/>
          <w:szCs w:val="28"/>
        </w:rPr>
        <w:t>教研教研计划的，按照《员工手册》予以教研室主任二级过失处理。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（三）教研活动期间违反纪律视情节严重，按照《员工手册》予以二——三级过失处理。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（四）教研活动记录不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详</w:t>
      </w:r>
      <w:r>
        <w:rPr>
          <w:rFonts w:hint="eastAsia" w:ascii="仿宋_GB2312" w:eastAsia="仿宋_GB2312"/>
          <w:color w:val="000000"/>
          <w:sz w:val="28"/>
          <w:szCs w:val="28"/>
        </w:rPr>
        <w:t>或组织不严密，每发现一次予以教研室主任二级过失处理。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第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  <w:t>十八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条</w:t>
      </w:r>
      <w:r>
        <w:rPr>
          <w:rFonts w:hint="eastAsia" w:ascii="黑体" w:eastAsia="黑体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本规定自颁布之日开始实施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原</w:t>
      </w:r>
      <w:r>
        <w:rPr>
          <w:rFonts w:hint="eastAsia" w:ascii="仿宋_GB2312" w:hAnsi="仿宋_GB2312" w:eastAsia="仿宋_GB2312" w:cs="仿宋_GB2312"/>
          <w:sz w:val="28"/>
        </w:rPr>
        <w:t>蓝校字[2007]19 号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文件《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东营市东营区职业中等专业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学校教研活动管理规定》废止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00" w:lineRule="exact"/>
        <w:ind w:left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第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十九</w:t>
      </w:r>
      <w:r>
        <w:rPr>
          <w:rFonts w:hint="eastAsia" w:ascii="楷体_GB2312" w:hAnsi="楷体_GB2312" w:eastAsia="楷体_GB2312" w:cs="楷体_GB2312"/>
          <w:sz w:val="28"/>
          <w:szCs w:val="28"/>
        </w:rPr>
        <w:t>条</w:t>
      </w:r>
      <w:r>
        <w:rPr>
          <w:rFonts w:hint="eastAsia" w:ascii="仿宋_GB2312" w:eastAsia="仿宋_GB2312"/>
          <w:sz w:val="28"/>
          <w:szCs w:val="28"/>
        </w:rPr>
        <w:t xml:space="preserve">  本规定最终解释权归学校教务处。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 w:ascii="黑体" w:eastAsia="黑体"/>
          <w:b/>
          <w:sz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</w:t>
      </w:r>
    </w:p>
    <w:p>
      <w:pPr>
        <w:ind w:firstLine="1606" w:firstLineChars="500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201</w:t>
      </w:r>
      <w:r>
        <w:rPr>
          <w:rFonts w:hint="eastAsia" w:ascii="黑体" w:eastAsia="黑体"/>
          <w:b/>
          <w:sz w:val="32"/>
          <w:lang w:val="en-US" w:eastAsia="zh-CN"/>
        </w:rPr>
        <w:t xml:space="preserve"> </w:t>
      </w:r>
      <w:r>
        <w:rPr>
          <w:rFonts w:hint="eastAsia" w:ascii="黑体" w:eastAsia="黑体"/>
          <w:b/>
          <w:sz w:val="32"/>
        </w:rPr>
        <w:t>—201</w:t>
      </w:r>
      <w:r>
        <w:rPr>
          <w:rFonts w:hint="eastAsia" w:ascii="黑体" w:eastAsia="黑体"/>
          <w:b/>
          <w:sz w:val="32"/>
          <w:lang w:val="en-US" w:eastAsia="zh-CN"/>
        </w:rPr>
        <w:t xml:space="preserve"> </w:t>
      </w:r>
      <w:r>
        <w:rPr>
          <w:rFonts w:hint="eastAsia" w:ascii="黑体" w:eastAsia="黑体"/>
          <w:b/>
          <w:sz w:val="32"/>
        </w:rPr>
        <w:t>学年第</w:t>
      </w:r>
      <w:r>
        <w:rPr>
          <w:rFonts w:hint="eastAsia" w:ascii="黑体" w:eastAsia="黑体"/>
          <w:b/>
          <w:sz w:val="32"/>
          <w:lang w:val="en-US" w:eastAsia="zh-CN"/>
        </w:rPr>
        <w:t xml:space="preserve">   </w:t>
      </w:r>
      <w:r>
        <w:rPr>
          <w:rFonts w:hint="eastAsia" w:ascii="黑体" w:eastAsia="黑体"/>
          <w:b/>
          <w:sz w:val="32"/>
        </w:rPr>
        <w:t>学期教研活动计划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教研室：</w:t>
      </w:r>
      <w:r>
        <w:rPr>
          <w:rFonts w:hint="eastAsia" w:ascii="仿宋_GB2312" w:eastAsia="仿宋_GB2312"/>
          <w:sz w:val="24"/>
          <w:u w:val="single" w:color="auto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u w:val="single" w:color="auto"/>
        </w:rPr>
        <w:t xml:space="preserve">        </w:t>
      </w:r>
      <w:r>
        <w:rPr>
          <w:rFonts w:hint="eastAsia" w:ascii="仿宋_GB2312" w:eastAsia="仿宋_GB2312"/>
          <w:sz w:val="24"/>
        </w:rPr>
        <w:t xml:space="preserve">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24"/>
        </w:rPr>
        <w:t>负责人：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       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992"/>
        <w:gridCol w:w="1994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21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教研活动课题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  <w:jc w:val="center"/>
        </w:trPr>
        <w:tc>
          <w:tcPr>
            <w:tcW w:w="21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教研活动时间</w:t>
            </w:r>
          </w:p>
        </w:tc>
        <w:tc>
          <w:tcPr>
            <w:tcW w:w="199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活动中心人</w:t>
            </w:r>
          </w:p>
        </w:tc>
        <w:tc>
          <w:tcPr>
            <w:tcW w:w="29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  <w:jc w:val="center"/>
        </w:trPr>
        <w:tc>
          <w:tcPr>
            <w:tcW w:w="21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活动地点</w:t>
            </w:r>
          </w:p>
        </w:tc>
        <w:tc>
          <w:tcPr>
            <w:tcW w:w="199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参加人员</w:t>
            </w:r>
          </w:p>
        </w:tc>
        <w:tc>
          <w:tcPr>
            <w:tcW w:w="29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  <w:jc w:val="center"/>
        </w:trPr>
        <w:tc>
          <w:tcPr>
            <w:tcW w:w="21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教研活动的方式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21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教研活动目的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21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活动达到的标准及要求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spacing w:line="6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  <w:jc w:val="center"/>
        </w:trPr>
        <w:tc>
          <w:tcPr>
            <w:tcW w:w="21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B3DE0"/>
    <w:rsid w:val="3C1C1780"/>
    <w:rsid w:val="61E6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2019-12-08T14:27:00Z</dcterms:created>
  <dc:creator>Administrator</dc:creator>
  <cp:lastModifiedBy>且听风吟</cp:lastModifiedBy>
  <dcterms:modified xsi:type="dcterms:W3CDTF">2019-12-09T09:15:58Z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